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D4B" w:rsidRPr="002A6D4B" w:rsidRDefault="002A6D4B" w:rsidP="002A6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A1C548" wp14:editId="679992CE">
            <wp:extent cx="444500" cy="508000"/>
            <wp:effectExtent l="0" t="0" r="0" b="6350"/>
            <wp:docPr id="1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D4B" w:rsidRPr="002A6D4B" w:rsidRDefault="002A6D4B" w:rsidP="002A6D4B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НОВОВЕЛИЧКОВСКОГО </w:t>
      </w:r>
    </w:p>
    <w:p w:rsidR="002A6D4B" w:rsidRPr="002A6D4B" w:rsidRDefault="002A6D4B" w:rsidP="002A6D4B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СЕЛЬСКОГОПОСЕЛЕНИЯ ДИНСКОГО РАЙОНА</w:t>
      </w:r>
    </w:p>
    <w:p w:rsidR="002A6D4B" w:rsidRPr="002A6D4B" w:rsidRDefault="002A6D4B" w:rsidP="002A6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D4B" w:rsidRPr="002A6D4B" w:rsidRDefault="002A6D4B" w:rsidP="002A6D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2A6D4B" w:rsidRPr="002A6D4B" w:rsidRDefault="002A6D4B" w:rsidP="002A6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D4B" w:rsidRPr="002A6D4B" w:rsidRDefault="002A6D4B" w:rsidP="002A6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30.01.2024</w:t>
      </w:r>
      <w:r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</w:p>
    <w:p w:rsidR="002A6D4B" w:rsidRPr="002A6D4B" w:rsidRDefault="002A6D4B" w:rsidP="002A6D4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A6D4B" w:rsidRPr="002A6D4B" w:rsidRDefault="002A6D4B" w:rsidP="002A6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D4B" w:rsidRPr="002A6D4B" w:rsidRDefault="002A6D4B" w:rsidP="002A6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D4B" w:rsidRPr="002A6D4B" w:rsidRDefault="002A6D4B" w:rsidP="002A6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D4B" w:rsidRPr="002A6D4B" w:rsidRDefault="002A6D4B" w:rsidP="002A6D4B">
      <w:pPr>
        <w:shd w:val="clear" w:color="auto" w:fill="FFFFFF"/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Положения об организации уличного освещения </w:t>
      </w:r>
    </w:p>
    <w:p w:rsidR="002A6D4B" w:rsidRPr="002A6D4B" w:rsidRDefault="002A6D4B" w:rsidP="002A6D4B">
      <w:pPr>
        <w:shd w:val="clear" w:color="auto" w:fill="FFFFFF"/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территории Нововеличковского сельского поселения </w:t>
      </w:r>
    </w:p>
    <w:p w:rsidR="002A6D4B" w:rsidRPr="002A6D4B" w:rsidRDefault="002A6D4B" w:rsidP="002A6D4B">
      <w:pPr>
        <w:shd w:val="clear" w:color="auto" w:fill="FFFFFF"/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Динского района</w:t>
      </w:r>
    </w:p>
    <w:p w:rsidR="002A6D4B" w:rsidRPr="002A6D4B" w:rsidRDefault="002A6D4B" w:rsidP="002A6D4B">
      <w:pPr>
        <w:shd w:val="clear" w:color="auto" w:fill="FFFFFF"/>
        <w:tabs>
          <w:tab w:val="left" w:pos="5245"/>
          <w:tab w:val="left" w:pos="7371"/>
        </w:tabs>
        <w:spacing w:after="0" w:line="240" w:lineRule="auto"/>
        <w:ind w:right="198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D4B" w:rsidRPr="002A6D4B" w:rsidRDefault="002A6D4B" w:rsidP="002A6D4B">
      <w:pPr>
        <w:shd w:val="clear" w:color="auto" w:fill="FFFFFF"/>
        <w:tabs>
          <w:tab w:val="left" w:pos="5245"/>
          <w:tab w:val="left" w:pos="7371"/>
        </w:tabs>
        <w:spacing w:after="0" w:line="240" w:lineRule="auto"/>
        <w:ind w:right="198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D4B" w:rsidRPr="002A6D4B" w:rsidRDefault="002A6D4B" w:rsidP="002A6D4B">
      <w:pPr>
        <w:shd w:val="clear" w:color="auto" w:fill="FFFFFF"/>
        <w:tabs>
          <w:tab w:val="left" w:pos="5245"/>
          <w:tab w:val="left" w:pos="7371"/>
        </w:tabs>
        <w:spacing w:after="0" w:line="240" w:lineRule="auto"/>
        <w:ind w:right="198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D4B" w:rsidRPr="002A6D4B" w:rsidRDefault="002A6D4B" w:rsidP="002A6D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Pr="002A6D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6 октября 2003 г.                         </w:t>
      </w: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131-ФЗ «Об общих принципах местного самоуправления в Российской Федерации», Федеральным законом от 23 ноября 2009 г. № 261-ФЗ                    </w:t>
      </w:r>
      <w:proofErr w:type="gramStart"/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«</w:t>
      </w:r>
      <w:proofErr w:type="gramEnd"/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энергосбережении и о повышении энергетической эффективности и о внесении изменений в отдельные законодательные акты Российской Федерации», на основании ч. 14 ст. 10 Устава Нововеличковского сельского поселения Динского района, п о с т а н о в л я ю</w:t>
      </w:r>
      <w:r w:rsidRPr="002A6D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2A6D4B" w:rsidRPr="002A6D4B" w:rsidRDefault="002A6D4B" w:rsidP="002A6D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Положение об организации уличного освещения на территории Нововеличковского сельского поселения Динского района (прилагается).</w:t>
      </w:r>
    </w:p>
    <w:p w:rsidR="002A6D4B" w:rsidRPr="002A6D4B" w:rsidRDefault="002A6D4B" w:rsidP="002A6D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Общему о</w:t>
      </w:r>
      <w:r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тделу администрации Нововеличковского сельского поселения Динского района (Калитка)</w:t>
      </w:r>
      <w:r w:rsidRPr="002A6D4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в установленном порядке, разместить на официальном сайте Нововеличковского сельского поселения Динского района в сети «Интернет» и</w:t>
      </w:r>
      <w:r w:rsidRPr="002A6D4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руководствоваться настоящим постановлением в работе.</w:t>
      </w:r>
    </w:p>
    <w:p w:rsidR="002A6D4B" w:rsidRPr="002A6D4B" w:rsidRDefault="002A6D4B" w:rsidP="002A6D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2A6D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Нововеличковского сельского поселения И.Л. Кочеткова.</w:t>
      </w:r>
    </w:p>
    <w:p w:rsidR="002A6D4B" w:rsidRPr="002A6D4B" w:rsidRDefault="002A6D4B" w:rsidP="002A6D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2A6D4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после его официального обнародования.</w:t>
      </w:r>
    </w:p>
    <w:p w:rsidR="002A6D4B" w:rsidRPr="002A6D4B" w:rsidRDefault="002A6D4B" w:rsidP="002A6D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D4B" w:rsidRPr="002A6D4B" w:rsidRDefault="002A6D4B" w:rsidP="002A6D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D4B" w:rsidRPr="002A6D4B" w:rsidRDefault="002A6D4B" w:rsidP="002A6D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D4B" w:rsidRPr="002A6D4B" w:rsidRDefault="002A6D4B" w:rsidP="002A6D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Главы Нововеличковского </w:t>
      </w:r>
    </w:p>
    <w:p w:rsidR="002A6D4B" w:rsidRPr="002A6D4B" w:rsidRDefault="002A6D4B" w:rsidP="002A6D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             Г.М.Кова</w:t>
      </w:r>
    </w:p>
    <w:p w:rsidR="002A6D4B" w:rsidRPr="002A6D4B" w:rsidRDefault="002A6D4B" w:rsidP="002A6D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D4B" w:rsidRPr="002A6D4B" w:rsidRDefault="002A6D4B" w:rsidP="002A6D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D4B" w:rsidRPr="002A6D4B" w:rsidRDefault="002A6D4B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 </w:t>
      </w:r>
    </w:p>
    <w:p w:rsidR="002A6D4B" w:rsidRPr="002A6D4B" w:rsidRDefault="002A6D4B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Нововеличковского </w:t>
      </w:r>
    </w:p>
    <w:p w:rsidR="002A6D4B" w:rsidRPr="002A6D4B" w:rsidRDefault="002A6D4B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2A6D4B" w:rsidRPr="002A6D4B" w:rsidRDefault="002A6D4B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30.01.2024 г.</w:t>
      </w: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</w:t>
      </w:r>
    </w:p>
    <w:p w:rsidR="002A6D4B" w:rsidRPr="002A6D4B" w:rsidRDefault="002A6D4B" w:rsidP="002A6D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D4B" w:rsidRDefault="002A6D4B" w:rsidP="002A6D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2319" w:rsidRPr="002A6D4B" w:rsidRDefault="00182319" w:rsidP="002A6D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организации уличного освещения на территории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требования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на территории Нововеличковского сельского поселения Динского определяет: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единой технической политики при организации и обслуживании систем уличного освещения;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эффективности использования бюджетных средств и энергетических ресурсов;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надежности систем уличного освещения;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нормативного уровня освещенности населенных пунктов;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уровня благоустройства территории Нововеличковского сельского поселения Динского района.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Перечень нормативно-технической документации: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 Федеральный закон 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6 октября 2003 г. №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Федеральный закон от 23 ноября 2009 г. № 261-ФЗ</w:t>
      </w:r>
      <w:bookmarkStart w:id="0" w:name="_GoBack"/>
      <w:bookmarkEnd w:id="0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:rsidR="00145CF3" w:rsidRPr="00145CF3" w:rsidRDefault="00145CF3" w:rsidP="00145C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3.  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Нововеличковского сельского поселения Динского района от 26 июля 2022 г. № 203-49/4 «</w:t>
      </w:r>
      <w:r w:rsidRPr="00145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ГОСТ Р 55706-2023 Освещение наружное утилитарное. Классификация и нормы.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ГОСТ Р 55839-2013 Источники света и приборы осветительные. Методы 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светотехнических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измерений и формат представленных данных;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 ГОСТ IEC 60598-2-3-2017 Светильники. Часть 2-3. Частные требования. Светильники для освещения улиц и дорог;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 Правила технической эксплуатации электроустановок потребителей электрической энергии, утвержденные Приказом Министерства энергетики Российской Федерации от 12 августа 2022 г. № 811;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Свод правил 52.13330-2016 «Естественное и искусственное освещение» (актуализированная редакция СНиП 23-05-95)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Полномочия администрации </w:t>
      </w:r>
      <w:r w:rsidRPr="00145C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Нововеличковского 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сельского поселения Динского района </w:t>
      </w: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организации 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уличного освещения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Полномочия администрации Нововеличковского сельского поселения по организации уличного освещения осуществляет в соответствии Федеральным законом 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6 октября 2003 г.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131 -ФЗ «Об общих принципах организации местного самоуправления в Российской Федерации», а именно: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Контроль за содержанием, техническим обслуживанием, эксплуатацией, сохранностью объектов уличного освещения. 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Проведение инвентаризации сетей уличного освещения, осветительных приборов, приборов учета уличного освещения.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Разработка, утверждение и реализация муниципальных программ по реконструкции, модернизации, капитальному ремонту уличного освещения. 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Размещение муниципального заказа на техническое обслуживание сетей уличного освещения, на капитальный ремонт, реконструкцию и строительство объектов уличного освещения.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Осуществление иных полномочий в соответствии с законодательством Российской Федерации, Краснодарского края, Уставом Нововеличковского сельского поселения в пределах компетенции.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Организация уличного освещения.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Освещение улиц на территории Нововеличковского сельского поселения осуществляется непрерывно в вечернее и ночное время.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Проектирование и монтаж светильников наружного освещения на объектах, не являющихся муниципальной собственностью Нововеличковского сельского поселения, в том числе: дворовых территорий индивидуальных жилых домов, территорий детских садов, общеобразовательных школ, организаций осуществляющих свою деятельность на территории Нововеличковского сельского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поселения,  производится</w:t>
      </w:r>
      <w:proofErr w:type="gram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вводных устройств и через расчетный учет электроэнергии собственников с выполнением действующих норм и правил.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Подключение светильников наружного освещения к сети наружного освещения являющейся муниципальной собственностью Нововеличковского сельского поселения возможно только по согласованию с администрацией Нововеличковского сельского поселения.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Светильники наружного освещения, установленные без согласования с администрацией Нововеличковского сельского поселения на сетях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наружного освещения являющимися муниципальной собственностью, подлежат демонтажу.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Расчет освещенности, выбор светильников, опор, их шага устанавливается схемой развития и реконструкции муниципальных сетей уличного освещения с учетом типовых решений.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 целях экономии бюджетных средств Нововеличковского сельского поселения на организацию уличного освещения в населенных пунктах Нововеличковского сельского поселения: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применяется односторонняя схема размещения светильников наружного освещения;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отношение шага светильников наружного освещения при одностороннем размещении источников света должно составлять не менее 65 метров.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Требования к светодиодным светильникам</w:t>
      </w: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Корпус светильника должен быть изготовлен из высококачественных алюминиевых сплавов, окрашенных порошковой краской толщиной не менее 60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мкМ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из анодированного алюминия с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вандало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защищённым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рассеивателем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поликарбоната или стекла.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Металлические детали светильников должны иметь соответствующую антикоррозийную защиту.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Должна быть обеспечена замена блока питания без вскрытия оптического отсека и демонтажа светильника.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Светильник должен иметь возможность установки на консольный угловой кронштейн с диаметром трубы до 65 мм.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Допустимое напряжение питания, В – 170 – 264.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Частота, Гц – 50±0,4 (ГОСТ 32144-2013).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Степень защиты оптического отсека – не ниже IP65.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Блок питания – источник стабилизированного тока, в корпусе – не ниже IP 65.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F43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Коэффициент полезного действия – не менее 90%.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Полная световая отдача светильника, Лм/Вт – не менее – 100.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Цветовая температура (теплый белый свет) – 4000 К.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Коэффициент мощности, не хуже – 0.95.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13.Светильники должны соответствовать классу защиты 1 от поражения электрическим током (ГОСТ 12.2.007.0-75).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Освещение улиц, площадей выполняется светильниками, располагаемыми на опорах или торосах.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Освещение тротуаров дворовых территорий допускается выполнять светильниками, располагаемыми на стенах или над козырьками подъездов зданий, многоквартирных домов.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Высота размещения светильников наружного освещения должна составлять не менее 2,5 метров.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Светильники на улицах с рядовой посадкой деревьев устанавливаются вне крон деревьев на удлиненных кронштейнах,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обращенных в сторону проезжей части улицы, или применяется тросовый подвес светильников.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светильников для наружного освещения запрещается: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установка неэлектронных пускорегулирующих аппаратов для трубчатых люминесцентных ламп;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установка светильников для дуговых ртутных люминесцентных ламп;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установка светильников для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двухцокольных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люминесцентных ламп с цоколем G13, за исключением случаев, когда для освещения в соответствии с санитарными правилами и нормами, устанавливающими требования к искусственному и смешанному освещению, не могут применяться светодиодные источники света.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Требования к кронштейнам: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Рекомендованы для применения кронштейны: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радиусный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однорожковый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двухрожковый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угловой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однорожковый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двухрожковый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Крепление кронштейнов к опорам, светильников к кронштейнам выполняется резьбовыми (разъемными) соединениями, исключающими возможность самопроизвольного ослабления.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Допускается использование радиусных и угловых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трехрожковых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четырехрожковых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кронштейнов в случае проектного подтверждения необходимости такого технического решения (перекрестки, пешеходные переходы, аллеи, спортивные площадки и т. д.).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Требования к опорам: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Рекомендованы для применения металлические опоры (ГОСТ 8732-78, ГОСТ 10704-91):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опоры граненые конические силовые (ОГКС);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опоры трубчатые не силовые;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опоры трубчатые силовые.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Рекомендованы для применения железобетонные опоры: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форма восьмигранника;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кольцевое сечение;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круглая;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коническая;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трапециевидное сечение.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Допускается при организации освещения в исторических и памятных местах применение декоративных металлических опор, кронштейнов и светильников в соответствии с проектом.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 улицах допускается устанавливать опоры за кюветом, если расстояние от опоры до ближней границы проезжей части не превышает 4 м.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Опоры освещения улиц и дорог, имеющих разделительные полосы шириной 4 м и более, могут устанавливаться по центру разделительных полос.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Опоры освещения на тротуарах или разделительных и зеленых полосах могут устанавливаться на расстоянии не менее 0,6 м от лицевой грани бортового камня до наружной поверхности опоры (или его цоколя). Это расстояние на жилых улицах может быть уменьшено до 0,3 м. 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 Опора не должна находиться между пожарным гидрантом и проезжей частью улицы или дороги.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Опоры на аллеях и пешеходных дорогах должны располагаться вне пешеходной части.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Запрещается крепление к опорам сетей наружного освещения различных растяжек, подвесок, проводов и кабелей, не связанных с эксплуатацией сетей, без согласования с собственником сетей или эксплуатирующей организацией.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Требования к приборам учета электрической энергии: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Прибор учета электрической энергии представлять собой цифровой двух и трехфазный счетчик, находящийся в Государственном реестре средств измерений.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Прибор учета электрической энергии предназначен для учета активной и реактивной электрической энергии в прямом направлении в двухфазных, трехфазных 2-х 3-х и 4-х проводных сетях переменного тока с возможностью тарифного учета и долговременного хранения.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Содержание объектов (средств) наружного освещения.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Поврежденные элементы сетей, влияющие на их работу или электробезопасность, должны ремонтироваться немедленно, не влияющие - в течение 10 дней с момента повреждения. Бездействующие элементы сетей (в том числе временные) должны демонтироваться в течение месяца с момента прекращения действия.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Количество неработающих светильников на улицах не должно превышать 10 процентов от их общего числа, при этом не допускается расположение неработающих светильников подряд, один за другим.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Наличие сбитых, а также оставшихся после замены опор освещения на территориях общего пользования не допускается. Вывоз таких опор осуществляется в течение суток с момента демонтажа, либо с момента получения информации о наличии таких опор от граждан или юридических лиц.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Отказы в работе объектов уличного освещения, связанные с обрывом электрических проводов или повреждением опор, отказом системы управления наружным освещением должны устраняться специализированной организацией немедленно после обнаружения.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6. Обеспечение регламентного состояния 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 наружного освещения.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 Система обеспечения регламентного состояния установок наружного освещения включает в себя совокупность взаимосвязанных мероприятий, направленных на дальнейшее улучшение состояния установок наружного освещения, гарантированного обеспечения надлежащего вида установок и их светотехнических параметров.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состав работ по обеспечению регламентного состояния наружного освещения должны входить следующие виды работ: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Планово-предупредительные работы: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плановая техническая эксплуатация, включающая в себя: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осмотры;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техническое обслуживание;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плановые текущие ремонты;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капитальный ремонт;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Непредвиденные работы: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внеплановые осмотры (после аварий, чрезвычайных ситуаций и т. п.);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аварийно-восстановительные работы неотложного характера.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Техническое обслуживание включает в себя комплекс работ, направленных на обеспечение бесперебойного функционирования установок наружного освещения и предотвращение их преждевременного износа как при нормальном режиме эксплуатации под воздействием внешней среды, так и при его внезапном нарушении, путем своевременного выявления и устранения возникающих отказов, обеспечение регламентного внешнего вида установок.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Плановый текущий ремонт включает все работы по ремонту установок наружного освещения в период между капитальными ремонтами, имеющими целью обеспечить проверку состояния, восстановления нормального внешнего вида и безопасности оборудования, а также светотехнических параметров установок.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целях восстановления исправности установок наружного освещения до уровня, близкого к имевшемуся после их сооружения, должен производиться капитальный ремонт.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Перед проведением капитального ремонта производится комплексная документальная, визуальная и инструментальная диагностика технического состояния электроустановки, с определением необходимого объема ремонтно-восстановительных работ и составлением дефектной ведомости работ.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Капитальный ремонт должен производиться 1 раз в 10 лет по утвержденному проекту или дефектной ведомости с учетом требований, направленных на увеличение длительности безотказной работы оборудования, улучшение его технико-экономических показателей, безопасности и внешнего вида.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Аварийно-восстановительные работы неотложного характера выполняются по результатам внеплановых осмотров. В зависимости от состава и объемов работ, они могут быть классифицированы как: текущий или капитальный ремонт.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9. Контрольные объезды должны проводиться не реже одного раза в месяц, а внеплановые – при получении заявок от физических или юридических лиц.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Техническое обслуживание систем наружного освещения.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Техническое обслуживание воздушных и кабельных линий должно включать в себя следующие основные виды работ: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отсутствия перегрева;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состояния защиты от механических повреждений;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состояния муфт и заделок;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изоляции, состояния паек и контактных соединений;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устранение мест с поврежденной изоляцией;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запись в карту осмотра.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Техническое обслуживание осветительных приборов должно включать в себя следующие основные виды работ: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ревизия светильников;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замена ламп, предохранителей,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рассеивателей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дросселей, импульсных зажигающих устройств;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корректировка положения светильника.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Техническое обслуживание опорных конструкций должно включать в себя следующие основные виды работ: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вертикальности опор и положения кронштейнов со светильниками;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исправности дверок и замков в металлических конструкциях;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отсутствия возможности доступа без применения инструмента к кабельной заделке, к щитам с предохранителем или автоматическими выключателями;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кронштейнов, металлических опор и корпусов светильников на наличие очагов коррозии;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удалением рекламной информации, наклеек, объявлений и т. д.;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наличия нумерации опор и ее восстановление (при необходимости).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Плановый текущий ремонт систем наружного освещения.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1.Плановый текущий ремонт воздушных и кабельных линий должен включать в себя следующие основные виды работ: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чистка кабельных каналов;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ремонт и замена конструкций крепления кабелей;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устранение коррозии оболочек;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замена отдельных участков воздушных и кабельных линий с ветхой или поврежденной изоляцией (до 50 м.);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замена скоб и креплений;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подтяжка и упорядочение их раскладки;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перезаделка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муфт, воронок, сухих разделок;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обрезка нависающих на провода воздушных электролиний ветвей деревьев;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проверка состояния изоляции кабельных линий, испытание мегомметром 1,0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проведения текущего ремонта;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измерение сопротивления петли фаза-ноль в распределительной сети после проведения текущего ремонта;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наличия цепи между заземлителями и заземляемыми элементами после проведения текущего ремонта (сопротивление контактов заземляющих проводников не должно превышать 0,05 Ом).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Плановый текущий ремонт осветительных приборов должен включать в себя следующие основные виды работ: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полная ревизия светильников;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крепления патронов, ниппелей и контактов с заменой неисправных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перезарядка проводов в светильниках;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восстановление лакокрасочных покрытий корпусов приборов;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замена ламп, вышедших из строя и неудовлетворяющих светотехническим параметрам;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Плановый текущий ремонт опорных конструкций должен включать в себя восстановление правильного положения опор, кронштейнов, цоколей.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Элементы наружного освещения после проведения планового текущего ремонта должны соответствовать требованиям к регламентному состоянию.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Капитальный ремонт систем наружного освещения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капитальному ремонту относятся работы, связанные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заменой основных элементов</w:t>
      </w:r>
      <w:proofErr w:type="gram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установок наружного освещения, включая элементы пунктов питания.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Перед проведением капитального ремонта производится комплексная документальная, визуальная и инструментальная диагностика технического состояния СНО, с определением необходимого объема ремонтно-восстановительных работ и составлением дефектной ведомости. При необходимости, выпускается проектная документация на капитальный ремонт СНО.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Сроки проведения капитального ремонта определяются в соответствии с нормативными сроками службы используемого оборудования и его технического состояния.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Установки наружного освещения после проведения капитального ремонта должны соответствовать требованиям нормативных документов по электробезопасности, находиться в регламентном состоянии и обеспечивать светотехнические параметры в соответствии с ГОСТ Р 55706-2023.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Светильники с истекшим сроком службы, резко снизившие свои эксплуатационные параметры и неремонтопригодные, должны быть заменены на новые энергосберегающие светильники.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Порядок определения расходов электроэнергии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Для учета электроэнергии и расчета с предприятиями - поставщиками за потребленную электроэнергию во всех пунктах питания, питающих сети уличного освещения, устанавливаются приборы учета электроэнергии.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 основании ежемесячного снятия показаний приборов учета электроэнергии производится расчет фактически потребленной электроэнергии.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 Финансовое обеспечение уличного освещения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Финансовое обеспечение уличного освещения на территории Нововеличковского сельского поселения осуществляется за счет средств бюджета Нововеличковского сельского поселения или внебюджетных источников. 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В целях обеспечения муниципальных нужд администрация Нововеличковского сельского поселения может заключать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энергосервисный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 (контракт).</w:t>
      </w: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Муниципальный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энергосервисный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 (контракт) на обслуживание уличного освещения заключаются и оплачиваются в соответствии с бюджетным законодательством Российской Федерации и законодательством Российской Федерации о контрактной системе в сфере закупок товаров, работ, услуг для обеспечения муниципальных нужд.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 Требования к обращению с отходами производства и потребления в части электрических ламп</w:t>
      </w:r>
    </w:p>
    <w:p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Обращение с отходами производства и потребления, в том числе электрических ламп, накопление, транспортировка осуществляются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145C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СанПиН</w:t>
      </w:r>
      <w:proofErr w:type="gramEnd"/>
      <w:r w:rsidRPr="00145C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2.1.3684-21</w:t>
      </w:r>
      <w:r w:rsidRPr="00145CF3">
        <w:rPr>
          <w:rFonts w:ascii="Times New Roman" w:eastAsia="Times New Roman" w:hAnsi="Times New Roman" w:cs="Times New Roman"/>
          <w:color w:val="303030"/>
          <w:sz w:val="28"/>
          <w:szCs w:val="28"/>
          <w:shd w:val="clear" w:color="auto" w:fill="FFFFFF"/>
          <w:lang w:eastAsia="ru-RU"/>
        </w:rPr>
        <w:t>.</w:t>
      </w:r>
    </w:p>
    <w:p w:rsidR="00145CF3" w:rsidRPr="00145CF3" w:rsidRDefault="00145CF3" w:rsidP="00145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CF3" w:rsidRPr="00145CF3" w:rsidRDefault="00145CF3" w:rsidP="00145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CF3" w:rsidRPr="00145CF3" w:rsidRDefault="00145CF3" w:rsidP="00145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                                                                 </w:t>
      </w:r>
      <w:proofErr w:type="spellStart"/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182319" w:rsidRPr="00182319" w:rsidRDefault="00182319" w:rsidP="0018231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27204E" w:rsidRDefault="0027204E" w:rsidP="00182319">
      <w:pPr>
        <w:shd w:val="clear" w:color="auto" w:fill="FFFFFF"/>
        <w:spacing w:after="0" w:line="240" w:lineRule="auto"/>
        <w:jc w:val="center"/>
      </w:pPr>
    </w:p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5BD"/>
    <w:rsid w:val="00145CF3"/>
    <w:rsid w:val="00182319"/>
    <w:rsid w:val="0027204E"/>
    <w:rsid w:val="002A6D4B"/>
    <w:rsid w:val="006F7134"/>
    <w:rsid w:val="00A1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4D225"/>
  <w15:chartTrackingRefBased/>
  <w15:docId w15:val="{5C3A3042-FC26-44C8-8785-75AEEA27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2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3041</Words>
  <Characters>17340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8</cp:revision>
  <cp:lastPrinted>2024-01-31T12:06:00Z</cp:lastPrinted>
  <dcterms:created xsi:type="dcterms:W3CDTF">2024-01-31T10:39:00Z</dcterms:created>
  <dcterms:modified xsi:type="dcterms:W3CDTF">2024-01-31T13:02:00Z</dcterms:modified>
</cp:coreProperties>
</file>